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63560ED5" w:rsidR="00805C96" w:rsidRPr="001467A4" w:rsidRDefault="00805C96" w:rsidP="001467A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sz w:val="24"/>
          <w:szCs w:val="24"/>
          <w:lang w:val="x-none" w:eastAsia="x-none"/>
        </w:rPr>
      </w:pPr>
      <w:r w:rsidRPr="00805C96">
        <w:rPr>
          <w:i/>
          <w:sz w:val="16"/>
          <w:lang w:bidi="uk-UA"/>
        </w:rPr>
        <w:t xml:space="preserve"> </w:t>
      </w:r>
      <w:r w:rsidRPr="00805C96">
        <w:rPr>
          <w:b/>
          <w:sz w:val="26"/>
          <w:lang w:bidi="uk-UA"/>
        </w:rPr>
        <w:t>ПАМ’ЯТКА ЩОДО ПРАВ ТА ОБОВ'ЯЗКІВ</w:t>
      </w:r>
    </w:p>
    <w:p w14:paraId="67D80712"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x-none" w:eastAsia="x-none"/>
        </w:rPr>
      </w:pPr>
    </w:p>
    <w:p w14:paraId="65942F5A"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x-none" w:eastAsia="x-none"/>
        </w:rPr>
      </w:pPr>
    </w:p>
    <w:p w14:paraId="00E98C88" w14:textId="7BDFCB02"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05C96">
        <w:rPr>
          <w:b/>
          <w:sz w:val="21"/>
          <w:lang w:bidi="uk-UA"/>
        </w:rPr>
        <w:t xml:space="preserve">Сторона має право протягом …… днів з дати оголошення вироку подати клопотання про складання в письмовій формі та вручення обґрунтування вироку. Обвинувачений, позбавлений волі, який не має захисника і - незважаючи на подання клопотання </w:t>
      </w:r>
      <w:r w:rsidRPr="00885058">
        <w:rPr>
          <w:b/>
          <w:sz w:val="20"/>
          <w:lang w:bidi="uk-UA"/>
        </w:rPr>
        <w:t xml:space="preserve">про доставку його на засідання, на якому було оголошено вирок - не був присутній під час оголошення вироку, має право подати клопотання про складання в письмовій формі та вручення обґрунтування вироку протягом 7 днів з дати вручення йому вироку. </w:t>
      </w:r>
    </w:p>
    <w:p w14:paraId="1AC0E20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Складання обґрунтування з ініціативи державного органу не звільняє від подання клопотання про вручення обґрунтування. Клопотання подається в письмовій формі із зазначенням:</w:t>
      </w:r>
    </w:p>
    <w:p w14:paraId="74ACB961" w14:textId="77777777" w:rsidR="00805C96" w:rsidRPr="00885058" w:rsidRDefault="00805C96"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назви органу, до якого воно направляється, та справи, якої воно стосується;</w:t>
      </w:r>
    </w:p>
    <w:p w14:paraId="2150AD79"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sz w:val="20"/>
          <w:lang w:bidi="uk-UA"/>
        </w:rPr>
        <w:t>2)  назви та адреса особи, яка подає документ, а також - у першому документі, поданому у справі - номер телефону, факсу та адреси електронної пошти або заяви про їх відсутність;</w:t>
      </w:r>
    </w:p>
    <w:p w14:paraId="2F1BB421"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3)  змісту клопотання, чи стосується воно всього вироку або деяких діянь, у скоєнні яких обвинувач звинувачує обвинуваченого, або лише рішення про покарання та інші правові наслідки діяння, а також зазначення обвинуваченого, якщо клопотання не походить від обвинуваченого;</w:t>
      </w:r>
    </w:p>
    <w:p w14:paraId="54DA202B"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sz w:val="20"/>
          <w:lang w:bidi="uk-UA"/>
        </w:rPr>
        <w:t>4)  дати та підпису особи, яка подає документ (за особу, яка не може підписатися, письмо підписує особа, уповноважена нею, із зазначенням причини подання свого підпису).</w:t>
      </w:r>
    </w:p>
    <w:p w14:paraId="4F10E4B7"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b/>
          <w:sz w:val="20"/>
          <w:lang w:bidi="uk-UA"/>
        </w:rPr>
        <w:t>Заява, подана неуповноваженою</w:t>
      </w:r>
      <w:r w:rsidRPr="00885058">
        <w:rPr>
          <w:sz w:val="20"/>
          <w:lang w:bidi="uk-UA"/>
        </w:rPr>
        <w:t xml:space="preserve"> </w:t>
      </w:r>
      <w:r w:rsidRPr="00885058">
        <w:rPr>
          <w:b/>
          <w:sz w:val="20"/>
          <w:lang w:bidi="uk-UA"/>
        </w:rPr>
        <w:t>особою, після закінчення строку або формальні недоліки якої не були усунені вчасно заявником, не приймається</w:t>
      </w:r>
      <w:r w:rsidRPr="00885058">
        <w:rPr>
          <w:sz w:val="20"/>
          <w:lang w:bidi="uk-UA"/>
        </w:rPr>
        <w:t xml:space="preserve"> (ст. 119, ст. 422 § 1, § 2 та § 3)</w:t>
      </w:r>
      <w:r w:rsidRPr="00885058">
        <w:rPr>
          <w:position w:val="5"/>
          <w:sz w:val="20"/>
          <w:lang w:bidi="uk-UA"/>
        </w:rPr>
        <w:t xml:space="preserve"> 2)</w:t>
      </w:r>
      <w:r w:rsidRPr="00885058">
        <w:rPr>
          <w:sz w:val="20"/>
          <w:lang w:bidi="uk-UA"/>
        </w:rPr>
        <w:t xml:space="preserve">.                                                                                                                                                                                </w:t>
      </w:r>
    </w:p>
    <w:p w14:paraId="1E3C505D" w14:textId="06FF997A" w:rsidR="00805C96" w:rsidRPr="00885058" w:rsidRDefault="00805C96"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lang w:val="x-none" w:eastAsia="x-none"/>
        </w:rPr>
      </w:pPr>
      <w:r w:rsidRPr="00885058">
        <w:rPr>
          <w:b/>
          <w:sz w:val="20"/>
          <w:lang w:bidi="uk-UA"/>
        </w:rPr>
        <w:tab/>
        <w:t>Сторони та зобов'язаний суб'єкт мають право оскаржити рішення суду першої інстанції</w:t>
      </w:r>
      <w:r w:rsidRPr="00885058">
        <w:rPr>
          <w:sz w:val="20"/>
          <w:lang w:bidi="uk-UA"/>
        </w:rPr>
        <w:t xml:space="preserve"> (ст. 444).</w:t>
      </w:r>
    </w:p>
    <w:p w14:paraId="0AE3D2A9"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x-none" w:eastAsia="x-none"/>
        </w:rPr>
      </w:pPr>
      <w:r w:rsidRPr="00885058">
        <w:rPr>
          <w:b/>
          <w:sz w:val="20"/>
          <w:lang w:bidi="uk-UA"/>
        </w:rPr>
        <w:t>Апеляція подається в письмовій формі до суду, який виніс оскаржуване рішення, протягом 14 днів з дати вручення рішення з обґрунтуванням</w:t>
      </w:r>
      <w:r w:rsidRPr="00885058">
        <w:rPr>
          <w:sz w:val="20"/>
          <w:lang w:bidi="uk-UA"/>
        </w:rPr>
        <w:t xml:space="preserve"> (ст. 428 § 1, ст. 445 § 1).</w:t>
      </w:r>
    </w:p>
    <w:p w14:paraId="61154CD3"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Апеляція щодо вини вважається поданою проти всього вироку, а апеляція щодо покарання вважається поданою проти всього рішення про покарання та кримінально-правові заходи. Апеляція щодо кримінально-правового заходу, компенсаційного заходу або конфіскації вважається поданою відповідно проти всього рішення про кримінально-правові заходи або про компенсаційні заходи або про конфіскацію (ст. 447 § 1-3).</w:t>
      </w:r>
    </w:p>
    <w:p w14:paraId="093113A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В апеляції можна висувати заперечення, які не були або не могли бути предметом скарги (ст. 447 § 4).</w:t>
      </w:r>
    </w:p>
    <w:p w14:paraId="3ACC58DE" w14:textId="1D32D5EA"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x-none" w:eastAsia="x-none"/>
        </w:rPr>
      </w:pPr>
      <w:r w:rsidRPr="00885058">
        <w:rPr>
          <w:sz w:val="20"/>
          <w:lang w:bidi="uk-UA"/>
        </w:rPr>
        <w:t xml:space="preserve">Підставою для апеляції не може бути помилка у встановленні фактів, прийнята за основу рішення, якщо вона могла вплинути на зміст цього рішення, а також явна невідповідність покарання, кримінально-правового заходу, штрафу або неправильне застосування або незастосування запобіжного заходу, конфіскації або іншого заходу, пов'язаного </w:t>
      </w:r>
      <w:r w:rsidR="00303CFB">
        <w:rPr>
          <w:sz w:val="20"/>
          <w:lang w:bidi="uk-UA"/>
        </w:rPr>
        <w:t>зі</w:t>
      </w:r>
      <w:r w:rsidRPr="00885058">
        <w:rPr>
          <w:sz w:val="20"/>
          <w:lang w:bidi="uk-UA"/>
        </w:rPr>
        <w:t xml:space="preserve"> змістом угоди про винесення обвинувального вироку, призначення певного покарання або кримінально-правового заходу, рішення про конфіскацію або компенсаційний захід або рішення про покриття судових витрат (ст. 447 § 5). </w:t>
      </w:r>
    </w:p>
    <w:p w14:paraId="4C7A1D01"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sz w:val="20"/>
          <w:lang w:bidi="uk-UA"/>
        </w:rPr>
        <w:t xml:space="preserve">Підставою для апеляції не можуть бути виключно заперечення, які могли б бути враховані в </w:t>
      </w:r>
      <w:r w:rsidRPr="00885058">
        <w:rPr>
          <w:sz w:val="20"/>
          <w:lang w:bidi="uk-UA"/>
        </w:rPr>
        <w:lastRenderedPageBreak/>
        <w:t>процедурі виправлення канцелярської або обчислювальної помилки та при обчисленні строків у рішенні або його обґрунтуванні, в порядку вирішення про конфіскацію, зарахування  строку фактичного позбавлення волі, періоду позбавлення водійського посвідчення або іншого відповідного документа або періоду відсторонення обвинуваченого від службових обов'язків або від виконання професії, або наказу про утримання від певної діяльності або від керування певним видом транспортних засобів, або заборони брати участь у державних закупівлях на час тривання провадження, накладення обов'язку повернення документа, що дає право керувати транспортним засобом, або речових доказів, а також у порядку вирішення питання про судові витрати (ст. 447 § 6).</w:t>
      </w:r>
    </w:p>
    <w:p w14:paraId="03B79FD6"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b/>
          <w:sz w:val="20"/>
          <w:lang w:bidi="uk-UA"/>
        </w:rPr>
        <w:t>Апеляція, подана після закінчення строку або неуповноваженою</w:t>
      </w:r>
      <w:r w:rsidRPr="00885058">
        <w:rPr>
          <w:sz w:val="20"/>
          <w:lang w:bidi="uk-UA"/>
        </w:rPr>
        <w:t xml:space="preserve"> </w:t>
      </w:r>
      <w:r w:rsidRPr="00885058">
        <w:rPr>
          <w:b/>
          <w:sz w:val="20"/>
          <w:lang w:bidi="uk-UA"/>
        </w:rPr>
        <w:t>особою, або яка є неприпустимою згідно із законом, не приймається</w:t>
      </w:r>
      <w:r w:rsidRPr="00885058">
        <w:rPr>
          <w:sz w:val="20"/>
          <w:lang w:bidi="uk-UA"/>
        </w:rPr>
        <w:t xml:space="preserve"> (ст. 429 § 1).</w:t>
      </w:r>
    </w:p>
    <w:p w14:paraId="367B7A82" w14:textId="77777777" w:rsidR="00805C96" w:rsidRPr="00885058"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ab/>
        <w:t>Обвинувачений має право при складанні апеляції користуватися допомогою визначеного ним захисника, а сторона, яка не є обвинуваченим, може визначити повноважного представника. До моменту визначення захисника обвинуваченим, позбавленим волі, захисника може визначити інша особа. Апеляція на вирок окружного суду, яка не походить від прокурора, повинна бути складена і підписана адвокатом, юрисконсультом або радником Генеральної прокуратури Республіки Польща. Витрати, пов'язані з призначенням захисника або повноважного представника, несе сторона, яка його призначила (ст. 6, ст. 83 § 1, ст. 87 § 1, ст. 446 § 1, ст. 620).</w:t>
      </w:r>
    </w:p>
    <w:p w14:paraId="3A1795AF" w14:textId="77777777" w:rsidR="00805C96" w:rsidRPr="00885058"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sz w:val="20"/>
          <w:lang w:bidi="uk-UA"/>
        </w:rPr>
        <w:t>Якщо сторона не має обраного захисника або повноважного представника, вона може вимагати призначення безкоштовного захисника або представника, в тому числі для здійснення певної дії, якщо вона належним чином доведе, що не в змозі понести витрати на призначення обраного захисника або повноважного представника без шкоди для необхідного утримання себе та своєї сім'ї. У такому випадку безкоштовний повноважний представник буде призначений зі списку повноважних представників. Призначення безкоштовного повноважного представника може бути скасоване, якщо виявиться, що не існують обставини, на підставі яких його було призначено (ст. 78 та ст. 81а § 1 у поєдн. зі ст. 88 § 1, друге речення).</w:t>
      </w:r>
    </w:p>
    <w:p w14:paraId="35D626DA" w14:textId="77777777"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x-none" w:eastAsia="x-none"/>
        </w:rPr>
      </w:pPr>
      <w:r w:rsidRPr="00885058">
        <w:rPr>
          <w:sz w:val="20"/>
          <w:lang w:bidi="uk-UA"/>
        </w:rPr>
        <w:t xml:space="preserve"> Участь захисника в провадженні не виключає особистої участі в ньому обвинуваченого, а участь повноважного представника не виключає особистої участі в ньому сторони, іншої ніж обвинувачений (ст. 86 § 2 у зв'язку зі ст. 88 § 1, друге речення). </w:t>
      </w:r>
    </w:p>
    <w:p w14:paraId="750317E3" w14:textId="77777777"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До строків, зазначених вище, не включається день, з якого починається відлік даного строку. Якщо кінець цього строку припадає на день, визнаний законом неробочим днем, або на суботу, дія може бути виконана наступного дня, який не є неробочим днем або суботою (ст. 123 § 1 та § 3). Термін вважається дотриманим, якщо до його закінчення клопотання про складання письмового обґрунтування або апеляція подаються безпосередньо до суду або:</w:t>
      </w:r>
    </w:p>
    <w:p w14:paraId="12B85CF9"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відправлені в установі, що займається доставкою кореспонденції на території Європейського Союзу;</w:t>
      </w:r>
    </w:p>
    <w:p w14:paraId="45D37986"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відправлені в польському консульському відомстві;</w:t>
      </w:r>
    </w:p>
    <w:p w14:paraId="5CE9E4F1"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подані військовослужбовцем, за винятком військовослужбовця, який проходить територіальну військову службу в резерві, до командування військової частини;</w:t>
      </w:r>
    </w:p>
    <w:p w14:paraId="1400D489"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lastRenderedPageBreak/>
        <w:t>подані особою, позбавленою волі, до адміністрації відповідного закладу;</w:t>
      </w:r>
    </w:p>
    <w:p w14:paraId="7EE63D38"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sz w:val="20"/>
          <w:lang w:bidi="uk-UA"/>
        </w:rPr>
        <w:t>подані членом екіпажу польського морського судна капітану судна (ст. 124).</w:t>
      </w:r>
    </w:p>
    <w:p w14:paraId="61C7890C"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3EE18D5E"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6DF91A39"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086FFD10"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4B4C0822"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x-none" w:eastAsia="x-none"/>
        </w:rPr>
      </w:pPr>
      <w:r w:rsidRPr="00805C96">
        <w:rPr>
          <w:sz w:val="12"/>
          <w:lang w:bidi="uk-UA"/>
        </w:rPr>
        <w:t>необхідно вибрати відповідний варіант;</w:t>
      </w:r>
    </w:p>
    <w:p w14:paraId="3EE0D878"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x-none" w:eastAsia="x-none"/>
        </w:rPr>
      </w:pPr>
      <w:r w:rsidRPr="00805C96">
        <w:rPr>
          <w:sz w:val="12"/>
          <w:lang w:bidi="uk-UA"/>
        </w:rPr>
        <w:t>подані в дужках положення означають відповідні статті закону від 6 червня 1997 р. - Кримінально-процесуальний кодекс («Закон. Вісник» від 2018 р., поз. 1987, зі змінами та доповненнями),</w:t>
      </w:r>
    </w:p>
    <w:p w14:paraId="46F7D35A" w14:textId="52DD3E72" w:rsidR="006A349A" w:rsidRDefault="00805C96" w:rsidP="00805C96">
      <w:r w:rsidRPr="00805C96">
        <w:rPr>
          <w:sz w:val="18"/>
          <w:lang w:bidi="uk-UA"/>
        </w:rPr>
        <w:fldChar w:fldCharType="begin"/>
      </w:r>
      <w:r w:rsidRPr="00805C96">
        <w:rPr>
          <w:sz w:val="18"/>
          <w:lang w:bidi="uk-UA"/>
        </w:rPr>
        <w:instrText xml:space="preserve"> {KONIEC} </w:instrText>
      </w:r>
      <w:r w:rsidRPr="00805C96">
        <w:rPr>
          <w:sz w:val="18"/>
          <w:lang w:bidi="uk-UA"/>
        </w:rPr>
        <w:fldChar w:fldCharType="separate"/>
      </w:r>
      <w:r w:rsidRPr="00805C96">
        <w:rPr>
          <w:sz w:val="18"/>
          <w:lang w:bidi="uk-UA"/>
        </w:rPr>
        <w:t xml:space="preserve"> </w:t>
      </w:r>
      <w:r w:rsidRPr="00805C96">
        <w:rPr>
          <w:sz w:val="18"/>
          <w:lang w:bidi="uk-UA"/>
        </w:rPr>
        <w:fldChar w:fldCharType="end"/>
      </w:r>
    </w:p>
    <w:sectPr w:rsidR="006A3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F797" w14:textId="77777777" w:rsidR="002A378A" w:rsidRDefault="002A378A" w:rsidP="002A378A">
      <w:pPr>
        <w:spacing w:after="0" w:line="240" w:lineRule="auto"/>
      </w:pPr>
      <w:r>
        <w:separator/>
      </w:r>
    </w:p>
  </w:endnote>
  <w:endnote w:type="continuationSeparator" w:id="0">
    <w:p w14:paraId="31F1030C" w14:textId="77777777" w:rsidR="002A378A" w:rsidRDefault="002A378A" w:rsidP="002A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7763F" w14:textId="77777777" w:rsidR="002A378A" w:rsidRDefault="002A378A" w:rsidP="002A378A">
      <w:pPr>
        <w:spacing w:after="0" w:line="240" w:lineRule="auto"/>
      </w:pPr>
      <w:r>
        <w:separator/>
      </w:r>
    </w:p>
  </w:footnote>
  <w:footnote w:type="continuationSeparator" w:id="0">
    <w:p w14:paraId="1DDA8712" w14:textId="77777777" w:rsidR="002A378A" w:rsidRDefault="002A378A" w:rsidP="002A3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467A4"/>
    <w:rsid w:val="00177175"/>
    <w:rsid w:val="001E1103"/>
    <w:rsid w:val="002A378A"/>
    <w:rsid w:val="00303CFB"/>
    <w:rsid w:val="004B4605"/>
    <w:rsid w:val="00567AEE"/>
    <w:rsid w:val="006164A0"/>
    <w:rsid w:val="006A349A"/>
    <w:rsid w:val="00737A41"/>
    <w:rsid w:val="00805C96"/>
    <w:rsid w:val="00823F63"/>
    <w:rsid w:val="00885058"/>
    <w:rsid w:val="00913B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A37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378A"/>
  </w:style>
  <w:style w:type="paragraph" w:styleId="Stopka">
    <w:name w:val="footer"/>
    <w:basedOn w:val="Normalny"/>
    <w:link w:val="StopkaZnak"/>
    <w:uiPriority w:val="99"/>
    <w:unhideWhenUsed/>
    <w:rsid w:val="002A37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5610</Characters>
  <Application>Microsoft Office Word</Application>
  <DocSecurity>0</DocSecurity>
  <Lines>86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2026-03-19T13:08:00Z</dcterms:created>
  <dcterms:modified xsi:type="dcterms:W3CDTF">2026-03-19T13:08:00Z</dcterms:modified>
</cp:coreProperties>
</file>